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皖南医学院校级研究机构名单</w:t>
      </w:r>
    </w:p>
    <w:tbl>
      <w:tblPr>
        <w:tblStyle w:val="3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99"/>
        <w:gridCol w:w="4410"/>
        <w:gridCol w:w="114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zh-CN"/>
              </w:rPr>
              <w:t>研究机构名称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zh-CN"/>
              </w:rPr>
              <w:t>负责人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皖南医学院定量药理研究所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洪宗元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皖南医学院生理科学研究所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汪萌芽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人文管理学院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皖南医学院肿瘤微环境研究室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吴志浩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4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皖南医学院慢性病防制研究所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姚应水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5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皖南医学院药物研发中心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韩军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6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皖南医学院重大疾病非编码RNA研究中心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吕坤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皖南医学院弋矶山医院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7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皖南医学院药物筛选与评价研究所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刘晓平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8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皖南医学院脊柱外科研究中心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徐宏光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皖南医学院弋矶山医院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9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皖南医学院血管性疾病研究中心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章宏祥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10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皖南医学院超声医学研究所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江峰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医学影像学院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11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皖南医学院德育与医学人文教育协同研究中心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王军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12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皖南医学院健康大数据挖掘与应用研究中心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叶明全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医学信息学院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13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皖南医学院医用材料合成应用研究所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王绍臻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14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皖南医学院蛇毒蛇伤研究所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李曙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15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皖南医学院脏器功能维护与重建研究中心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于涛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皖南医学院弋矶山医院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16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皖南医学院中西医结合研究中心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王秀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17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皖南医学院现代中药研究所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年四辉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18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皖南医学院天然日化研究所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孙淑萍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神经系统疾病转化医学中心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江晓春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皖南医学院弋矶山医院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79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1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新安医学研究中心</w:t>
            </w:r>
          </w:p>
        </w:tc>
        <w:tc>
          <w:tcPr>
            <w:tcW w:w="114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李艳</w:t>
            </w:r>
          </w:p>
        </w:tc>
        <w:tc>
          <w:tcPr>
            <w:tcW w:w="262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  <w:t>皖南医学院弋矶山医院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F49B7"/>
    <w:rsid w:val="445F49B7"/>
    <w:rsid w:val="4B22757F"/>
    <w:rsid w:val="7A6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uiPriority w:val="0"/>
    <w:pPr>
      <w:spacing w:line="240" w:lineRule="auto"/>
      <w:jc w:val="left"/>
    </w:pPr>
    <w:rPr>
      <w:rFonts w:ascii="Times New Roman" w:hAnsi="Times New Roman" w:eastAsia="宋体" w:cs="Times New Roman"/>
      <w:snapToGrid w:val="0"/>
      <w:sz w:val="24"/>
    </w:rPr>
  </w:style>
  <w:style w:type="paragraph" w:customStyle="1" w:styleId="6">
    <w:name w:val="样式3"/>
    <w:basedOn w:val="1"/>
    <w:uiPriority w:val="0"/>
    <w:pPr>
      <w:spacing w:line="240" w:lineRule="auto"/>
      <w:jc w:val="left"/>
    </w:pPr>
    <w:rPr>
      <w:rFonts w:ascii="Times New Roman" w:hAnsi="Times New Roman" w:eastAsia="仿宋" w:cs="Times New Roman"/>
      <w:snapToGrid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2021-11-29T01:30:00Z</dcterms:created>
  <dc:creator>Administrator</dc:creator>
  <cp:lastModifiedBy>Administrator</cp:lastModifiedBy>
  <dcterms:modified xsi:type="dcterms:W3CDTF">2021-11-29T01:33:45Z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